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39ED8"/>
    <w:p w14:paraId="4334532A"/>
    <w:p w14:paraId="3AF84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</w:rPr>
      </w:pPr>
      <w:bookmarkStart w:id="0" w:name="_GoBack"/>
      <w:r>
        <w:rPr>
          <w:rStyle w:val="5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口头装修合同起纠纷，云杰律师助力追回全额工程款及利息</w:t>
      </w:r>
    </w:p>
    <w:bookmarkEnd w:id="0"/>
    <w:p w14:paraId="2AF8C8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Style w:val="5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案情简介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女士与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先生就装修工程达成口头协议，仅约定了工程价格，未明确质保金及完工日期。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先生在支付部分工程款后，剩余18947元以工程未完工及需留取质保金为由拒绝支付。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女士多次催要未果，遂委托天津云杰律师事务所李元杰律师代为处理。</w:t>
      </w:r>
    </w:p>
    <w:p w14:paraId="7B24B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Style w:val="5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案件处理结果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：经李元杰律师指导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女士准备充分证据，并深入调查案情，法院最终判决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先生在判决生效之日起10日内，向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女士支付拖欠的工程款18947元，并支付相应利息（以18947元为基数，按一年期贷款市场报价利率标准，自应还款日至实际还清之日）。</w:t>
      </w:r>
    </w:p>
    <w:p w14:paraId="30F223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26" w:lineRule="atLeast"/>
        <w:ind w:left="0" w:right="0" w:firstLine="0"/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Style w:val="5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律师作用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：李律师在本案中发挥了关键作用，不仅指导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女士有效准备证据材料，还通过深入调查还原了案件事实。在法庭上，李律师据理力争，指出双方口头合同中未约定质保金及完工日期，且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先生未能提供逾期完工造成损失的证据，成功为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L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女士争取到了全额工程款及利息的支付，维护了当事人的合法权益</w:t>
      </w:r>
    </w:p>
    <w:p w14:paraId="6BCE72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A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2026-03-27T07:38:46Z</dcterms:created>
  <dc:creator>madaocheng</dc:creator>
  <cp:lastModifiedBy>紫水晶</cp:lastModifiedBy>
  <dcterms:modified xsi:type="dcterms:W3CDTF">2026-03-27T07:49:32Z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eyJoZGlkIjoiNDVjMDcwNzVmYmNjNGU3NjlkZmZhMTUwYmEwMWM4MjgiLCJ1c2VySWQiOiI4MzEwMjUwNjEifQ==</vt:lpwstr>
  </property>
  <property fmtid="{D5CDD505-2E9C-101B-9397-08002B2CF9AE}" pid="4" name="ICV">
    <vt:lpwstr>B5D860DA8AAF4FA9943F12563ED74354_12</vt:lpwstr>
  </property>
</Properties>
</file>