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1A2DD"/>
    <w:p w14:paraId="2C924C17"/>
    <w:p w14:paraId="15EB67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 w:line="450" w:lineRule="atLeast"/>
        <w:ind w:left="0" w:right="0" w:firstLine="0"/>
        <w:jc w:val="left"/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 50万借款遇债务人离世 云杰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律所王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律师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助力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全额追回本息</w:t>
      </w:r>
    </w:p>
    <w:p w14:paraId="753B3C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 w:line="450" w:lineRule="atLeast"/>
        <w:ind w:left="0" w:right="0" w:firstLine="0"/>
        <w:jc w:val="left"/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案情简介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：H先生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分三批向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出借合计50万元，包含30万元和两笔10万元借款，双方均办理了展期并留存借条照片，明确约定还款日期与年息6%的利息标准。2025年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突然离世，其两名子女作出放弃继承权的意思表示，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的配偶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Z女士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既不认可借条真实性，还主张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此前向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H先生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的转账都是偿还本金，不存在利息约定。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H先生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维权无门，委托天津云杰律师事务所的王宁律师代为起诉维权。</w:t>
      </w:r>
    </w:p>
    <w:p w14:paraId="0812B2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 w:line="450" w:lineRule="atLeast"/>
        <w:ind w:left="0" w:right="0" w:firstLine="0"/>
        <w:jc w:val="left"/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案件处理结果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王律师指导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H先生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完整准备借条、账户交易明细、电子回单、微信聊天记录、电话录音等全套证据。庭审中明确指出，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Z女士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虽否认全部借条真实性，但当庭明确表示不申请笔迹鉴定，结合全案账目往来梳理，足以证明双方存在按年息6%标准支付利息的合意。同时指出，现有证据无法查明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全部遗产范围，两名子女即便声称放弃继承，也不能直接免除三被告的法定清偿义务。最终法院判决，三被告于判决生效15日内，在继承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A先生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遗产实际价值范围内，向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H先生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偿还50万元本金及利息，三张借条分别按年息6%标准，自约定还款日起计付至实际还清之日。</w:t>
      </w:r>
    </w:p>
    <w:p w14:paraId="689DA0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 w:line="450" w:lineRule="atLeast"/>
        <w:ind w:left="0" w:right="0" w:firstLine="0"/>
        <w:jc w:val="left"/>
        <w:rPr>
          <w:rFonts w:hint="eastAsia" w:ascii="华文中宋" w:hAnsi="华文中宋" w:eastAsia="华文中宋" w:cs="华文中宋"/>
          <w:b w:val="0"/>
          <w:bCs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律师作用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精准打破对方“借条不真实、转账全是还本金”的抗辩逻辑，通过完整证据链坐实50万借款事实与年息6%的合法利息约定，避免债权人本金被错误抵扣、利息诉求落空。精准适用被继承人债务清偿的法律规则，直接指出“假放弃真逃债”的行为无法免除法定继承人的清偿责任，彻底规避了继承人以放弃继承为由逃废债务的风险，全方位保障债权人的胜诉权益落地。帮助当事人全额保住了50万本金及合法利息，避免了大额民间借贷因债务人离世出现“人死债消”的维权困境，为同类案件提供了典型的维权参考。</w:t>
      </w:r>
    </w:p>
    <w:p w14:paraId="4B6B14AD">
      <w:pPr>
        <w:rPr>
          <w:rFonts w:hint="eastAsia" w:ascii="华文中宋" w:hAnsi="华文中宋" w:eastAsia="华文中宋" w:cs="华文中宋"/>
          <w:b w:val="0"/>
          <w:bCs w:val="0"/>
          <w:sz w:val="32"/>
          <w:szCs w:val="32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7E1138"/>
    <w:rsid w:val="7676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690</Words>
  <Characters>705</Characters>
  <Lines>0</Lines>
  <Paragraphs>0</Paragraphs>
  <TotalTime>15</TotalTime>
  <ScaleCrop>false</ScaleCrop>
  <LinksUpToDate>false</LinksUpToDate>
  <CharactersWithSpaces>707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2026-10-19T05:42:00Z</dcterms:created>
  <dc:creator>madaocheng</dc:creator>
  <cp:lastModifiedBy>紫水晶</cp:lastModifiedBy>
  <dcterms:modified xsi:type="dcterms:W3CDTF">2026-10-19T06:23:53Z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eyJoZGlkIjoiNDVjMDcwNzVmYmNjNGU3NjlkZmZhMTUwYmEwMWM4MjgiLCJ1c2VySWQiOiI4MzEwMjUwNjEifQ==</vt:lpwstr>
  </property>
  <property fmtid="{D5CDD505-2E9C-101B-9397-08002B2CF9AE}" pid="4" name="ICV">
    <vt:lpwstr>6A65BD18755A469AAC7AFFB827AB7E18_12</vt:lpwstr>
  </property>
</Properties>
</file>